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BD7FD" w14:textId="77777777" w:rsidR="006E776A" w:rsidRDefault="006E776A" w:rsidP="006E776A">
      <w:pPr>
        <w:jc w:val="both"/>
        <w:rPr>
          <w:rFonts w:cstheme="minorHAnsi"/>
          <w:sz w:val="20"/>
          <w:szCs w:val="20"/>
        </w:rPr>
      </w:pPr>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0" w:name="_Ref33607571"/>
      <w:bookmarkStart w:id="1" w:name="_Toc56427286"/>
      <w:bookmarkStart w:id="2"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0"/>
    <w:bookmarkEnd w:id="1"/>
    <w:bookmarkEnd w:id="2"/>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Pr>
          <w:rFonts w:cstheme="minorHAnsi"/>
          <w:sz w:val="20"/>
          <w:szCs w:val="20"/>
          <w:highlight w:val="yellow"/>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rrafodelista"/>
        <w:numPr>
          <w:ilvl w:val="0"/>
          <w:numId w:val="15"/>
        </w:numPr>
        <w:jc w:val="both"/>
        <w:rPr>
          <w:rFonts w:cstheme="minorHAnsi"/>
          <w:b/>
          <w:sz w:val="20"/>
          <w:szCs w:val="20"/>
          <w:lang w:val="en-US"/>
        </w:rPr>
      </w:pPr>
      <w:bookmarkStart w:id="3" w:name="_Toc536612990"/>
      <w:bookmarkStart w:id="4" w:name="_Toc37245650"/>
      <w:r>
        <w:rPr>
          <w:rFonts w:cstheme="minorHAnsi"/>
          <w:b/>
          <w:bCs/>
          <w:sz w:val="20"/>
          <w:szCs w:val="20"/>
          <w:lang w:val="en"/>
        </w:rPr>
        <w:t>Description of the personal data processing</w:t>
      </w:r>
      <w:bookmarkEnd w:id="3"/>
      <w:bookmarkEnd w:id="4"/>
    </w:p>
    <w:p w14:paraId="4413A050" w14:textId="77777777" w:rsidR="000D5744" w:rsidRPr="00C7393A" w:rsidRDefault="000D5744" w:rsidP="000D5744">
      <w:pPr>
        <w:pStyle w:val="Prrafodelista"/>
        <w:ind w:left="360"/>
        <w:jc w:val="both"/>
        <w:rPr>
          <w:rFonts w:cstheme="minorHAnsi"/>
          <w:b/>
          <w:sz w:val="20"/>
          <w:szCs w:val="20"/>
          <w:lang w:val="en-US"/>
        </w:rPr>
      </w:pPr>
    </w:p>
    <w:p w14:paraId="3FF9F7F3" w14:textId="54E9B827"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w:t>
      </w:r>
      <w:r w:rsidR="00287651">
        <w:rPr>
          <w:rFonts w:cstheme="minorHAnsi"/>
          <w:sz w:val="20"/>
          <w:szCs w:val="20"/>
          <w:lang w:val="en"/>
        </w:rPr>
        <w:t>authorized</w:t>
      </w:r>
      <w:r>
        <w:rPr>
          <w:rFonts w:cstheme="minorHAnsi"/>
          <w:sz w:val="20"/>
          <w:szCs w:val="20"/>
          <w:lang w:val="en"/>
        </w:rPr>
        <w:t xml:space="preserve">,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000000"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000000"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000000"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000000"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000000"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000000"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000000"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514092BB"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000000"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000000"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000000"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000000"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000000"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is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000000"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rrafodelista"/>
        <w:numPr>
          <w:ilvl w:val="0"/>
          <w:numId w:val="15"/>
        </w:numPr>
        <w:jc w:val="both"/>
        <w:rPr>
          <w:rFonts w:cstheme="minorHAnsi"/>
          <w:b/>
          <w:sz w:val="20"/>
          <w:szCs w:val="20"/>
        </w:rPr>
      </w:pPr>
      <w:bookmarkStart w:id="5" w:name="_Toc37245651"/>
      <w:bookmarkStart w:id="6" w:name="_Toc536612991"/>
      <w:r>
        <w:rPr>
          <w:rFonts w:cstheme="minorHAnsi"/>
          <w:b/>
          <w:bCs/>
          <w:sz w:val="20"/>
          <w:szCs w:val="20"/>
          <w:lang w:val="en"/>
        </w:rPr>
        <w:t>Obligations of the contractor vis-à-vis the buyer (Article 28.3 GDPR)</w:t>
      </w:r>
      <w:bookmarkEnd w:id="5"/>
      <w:bookmarkEnd w:id="6"/>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w:t>
      </w:r>
      <w:proofErr w:type="spellStart"/>
      <w:r>
        <w:rPr>
          <w:rFonts w:cstheme="minorHAnsi"/>
          <w:sz w:val="20"/>
          <w:szCs w:val="20"/>
          <w:lang w:val="en"/>
        </w:rPr>
        <w:t>organisation</w:t>
      </w:r>
      <w:proofErr w:type="spellEnd"/>
      <w:r>
        <w:rPr>
          <w:rFonts w:cstheme="minorHAnsi"/>
          <w:sz w:val="20"/>
          <w:szCs w:val="20"/>
          <w:lang w:val="en"/>
        </w:rPr>
        <w:t xml:space="preserve">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rrafodelista"/>
        <w:numPr>
          <w:ilvl w:val="0"/>
          <w:numId w:val="15"/>
        </w:numPr>
        <w:jc w:val="both"/>
        <w:rPr>
          <w:rFonts w:cstheme="minorHAnsi"/>
          <w:b/>
          <w:sz w:val="20"/>
          <w:szCs w:val="20"/>
          <w:lang w:val="en-US"/>
        </w:rPr>
      </w:pPr>
      <w:bookmarkStart w:id="7" w:name="_Toc37245652"/>
      <w:bookmarkStart w:id="8" w:name="_Toc536612992"/>
      <w:r>
        <w:rPr>
          <w:rFonts w:cstheme="minorHAnsi"/>
          <w:b/>
          <w:bCs/>
          <w:sz w:val="20"/>
          <w:szCs w:val="20"/>
          <w:lang w:val="en"/>
        </w:rPr>
        <w:t>Outsourcing of processing activities (Articles 28.2 and 28.4 GDPR)</w:t>
      </w:r>
      <w:bookmarkEnd w:id="7"/>
      <w:bookmarkEnd w:id="8"/>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must present its processor by means of a special processing document, for which the formal requirements are set out in form DC4 or any other equivalent document (available for download at </w:t>
      </w:r>
      <w:hyperlink r:id="rId7" w:history="1">
        <w:r>
          <w:rPr>
            <w:rStyle w:val="Hipervnculo"/>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rrafodelista"/>
        <w:numPr>
          <w:ilvl w:val="0"/>
          <w:numId w:val="15"/>
        </w:numPr>
        <w:jc w:val="both"/>
        <w:rPr>
          <w:rFonts w:cstheme="minorHAnsi"/>
          <w:b/>
          <w:sz w:val="20"/>
          <w:szCs w:val="20"/>
          <w:lang w:val="en-US"/>
        </w:rPr>
      </w:pPr>
      <w:bookmarkStart w:id="9" w:name="_Toc37245653"/>
      <w:bookmarkStart w:id="10" w:name="_Toc536612993"/>
      <w:r>
        <w:rPr>
          <w:rFonts w:cstheme="minorHAnsi"/>
          <w:b/>
          <w:bCs/>
          <w:sz w:val="20"/>
          <w:szCs w:val="20"/>
          <w:lang w:val="en"/>
        </w:rPr>
        <w:t>Data subjects’ right of information and exercise of said right (Articles 13 to 15 GDPR)</w:t>
      </w:r>
      <w:bookmarkEnd w:id="9"/>
      <w:bookmarkEnd w:id="10"/>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rrafodelista"/>
        <w:numPr>
          <w:ilvl w:val="0"/>
          <w:numId w:val="15"/>
        </w:numPr>
        <w:jc w:val="both"/>
        <w:rPr>
          <w:rFonts w:cstheme="minorHAnsi"/>
          <w:b/>
          <w:sz w:val="20"/>
          <w:szCs w:val="20"/>
          <w:lang w:val="en-US"/>
        </w:rPr>
      </w:pPr>
      <w:bookmarkStart w:id="11" w:name="_Toc37245654"/>
      <w:bookmarkStart w:id="12" w:name="_Toc536612994"/>
      <w:r>
        <w:rPr>
          <w:rFonts w:cstheme="minorHAnsi"/>
          <w:b/>
          <w:bCs/>
          <w:sz w:val="20"/>
          <w:szCs w:val="20"/>
          <w:lang w:val="en"/>
        </w:rPr>
        <w:t>Notification of personal data breaches (Article 33 GDPR)</w:t>
      </w:r>
      <w:bookmarkEnd w:id="11"/>
      <w:bookmarkEnd w:id="12"/>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lastRenderedPageBreak/>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rrafodelista"/>
        <w:numPr>
          <w:ilvl w:val="0"/>
          <w:numId w:val="15"/>
        </w:numPr>
        <w:jc w:val="both"/>
        <w:rPr>
          <w:rFonts w:cstheme="minorHAnsi"/>
          <w:b/>
          <w:sz w:val="20"/>
          <w:szCs w:val="20"/>
          <w:lang w:val="en-US"/>
        </w:rPr>
      </w:pPr>
      <w:bookmarkStart w:id="13" w:name="_Toc37245655"/>
      <w:bookmarkStart w:id="14" w:name="_Toc536612995"/>
      <w:r>
        <w:rPr>
          <w:rFonts w:cstheme="minorHAnsi"/>
          <w:b/>
          <w:bCs/>
          <w:sz w:val="20"/>
          <w:szCs w:val="20"/>
          <w:lang w:val="en"/>
        </w:rPr>
        <w:t>Support from the contractor to the contracting authority to enable its obligations to be complied with</w:t>
      </w:r>
      <w:bookmarkEnd w:id="13"/>
      <w:bookmarkEnd w:id="14"/>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rrafodelista"/>
        <w:numPr>
          <w:ilvl w:val="0"/>
          <w:numId w:val="15"/>
        </w:numPr>
        <w:jc w:val="both"/>
        <w:rPr>
          <w:rFonts w:cstheme="minorHAnsi"/>
          <w:b/>
          <w:sz w:val="20"/>
          <w:szCs w:val="20"/>
        </w:rPr>
      </w:pPr>
      <w:bookmarkStart w:id="15" w:name="_Toc37245656"/>
      <w:bookmarkStart w:id="16" w:name="_Toc536612996"/>
      <w:r>
        <w:rPr>
          <w:rFonts w:cstheme="minorHAnsi"/>
          <w:b/>
          <w:bCs/>
          <w:sz w:val="20"/>
          <w:szCs w:val="20"/>
          <w:lang w:val="en"/>
        </w:rPr>
        <w:t>Security measures</w:t>
      </w:r>
      <w:bookmarkEnd w:id="15"/>
      <w:bookmarkEnd w:id="16"/>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spellStart"/>
      <w:r>
        <w:rPr>
          <w:rFonts w:cstheme="minorHAnsi"/>
          <w:sz w:val="20"/>
          <w:szCs w:val="20"/>
          <w:lang w:val="en"/>
        </w:rPr>
        <w:t>anonymise</w:t>
      </w:r>
      <w:proofErr w:type="spell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w:t>
      </w:r>
      <w:proofErr w:type="spellStart"/>
      <w:r>
        <w:rPr>
          <w:rFonts w:cstheme="minorHAnsi"/>
          <w:sz w:val="20"/>
          <w:szCs w:val="20"/>
          <w:lang w:val="en"/>
        </w:rPr>
        <w:t>analyse</w:t>
      </w:r>
      <w:proofErr w:type="spellEnd"/>
      <w:r>
        <w:rPr>
          <w:rFonts w:cstheme="minorHAnsi"/>
          <w:sz w:val="20"/>
          <w:szCs w:val="20"/>
          <w:lang w:val="en"/>
        </w:rPr>
        <w:t xml:space="preserve"> and assess the effectiveness of the technical and </w:t>
      </w:r>
      <w:proofErr w:type="spellStart"/>
      <w:r>
        <w:rPr>
          <w:rFonts w:cstheme="minorHAnsi"/>
          <w:sz w:val="20"/>
          <w:szCs w:val="20"/>
          <w:lang w:val="en"/>
        </w:rPr>
        <w:t>organisational</w:t>
      </w:r>
      <w:proofErr w:type="spellEnd"/>
      <w:r>
        <w:rPr>
          <w:rFonts w:cstheme="minorHAnsi"/>
          <w:sz w:val="20"/>
          <w:szCs w:val="20"/>
          <w:lang w:val="en"/>
        </w:rPr>
        <w:t xml:space="preserve">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rrafodelista"/>
        <w:numPr>
          <w:ilvl w:val="0"/>
          <w:numId w:val="15"/>
        </w:numPr>
        <w:jc w:val="both"/>
        <w:rPr>
          <w:rFonts w:cstheme="minorHAnsi"/>
          <w:b/>
          <w:sz w:val="20"/>
          <w:szCs w:val="20"/>
          <w:lang w:val="en-US"/>
        </w:rPr>
      </w:pPr>
      <w:bookmarkStart w:id="17" w:name="_Toc37245657"/>
      <w:bookmarkStart w:id="18" w:name="_Toc536612997"/>
      <w:r>
        <w:rPr>
          <w:rFonts w:cstheme="minorHAnsi"/>
          <w:b/>
          <w:bCs/>
          <w:sz w:val="20"/>
          <w:szCs w:val="20"/>
          <w:lang w:val="en"/>
        </w:rPr>
        <w:t>Fate of personal data (Article 28.3.g GDPR)</w:t>
      </w:r>
      <w:bookmarkEnd w:id="17"/>
      <w:bookmarkEnd w:id="18"/>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rrafodelista"/>
        <w:numPr>
          <w:ilvl w:val="0"/>
          <w:numId w:val="15"/>
        </w:numPr>
        <w:jc w:val="both"/>
        <w:rPr>
          <w:rFonts w:cstheme="minorHAnsi"/>
          <w:b/>
          <w:sz w:val="20"/>
          <w:szCs w:val="20"/>
          <w:lang w:val="en-US"/>
        </w:rPr>
      </w:pPr>
      <w:bookmarkStart w:id="19" w:name="_Toc37245658"/>
      <w:bookmarkStart w:id="20" w:name="_Toc536612998"/>
      <w:r>
        <w:rPr>
          <w:rFonts w:cstheme="minorHAnsi"/>
          <w:b/>
          <w:bCs/>
          <w:sz w:val="20"/>
          <w:szCs w:val="20"/>
          <w:lang w:val="en"/>
        </w:rPr>
        <w:t>Data protection officer (Articles 37 to 39 GDPR)</w:t>
      </w:r>
      <w:bookmarkEnd w:id="19"/>
      <w:bookmarkEnd w:id="20"/>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rrafodelista"/>
        <w:numPr>
          <w:ilvl w:val="0"/>
          <w:numId w:val="15"/>
        </w:numPr>
        <w:jc w:val="both"/>
        <w:rPr>
          <w:rFonts w:cstheme="minorHAnsi"/>
          <w:b/>
          <w:sz w:val="20"/>
          <w:szCs w:val="20"/>
        </w:rPr>
      </w:pPr>
      <w:bookmarkStart w:id="21" w:name="_Toc37245659"/>
      <w:bookmarkStart w:id="22" w:name="_Toc536612999"/>
      <w:r>
        <w:rPr>
          <w:rFonts w:cstheme="minorHAnsi"/>
          <w:b/>
          <w:bCs/>
          <w:sz w:val="20"/>
          <w:szCs w:val="20"/>
          <w:lang w:val="en"/>
        </w:rPr>
        <w:t>Processing register (Article 30 GDPR)</w:t>
      </w:r>
      <w:bookmarkEnd w:id="21"/>
      <w:bookmarkEnd w:id="22"/>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lastRenderedPageBreak/>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w:t>
      </w:r>
      <w:proofErr w:type="spellStart"/>
      <w:r>
        <w:rPr>
          <w:rFonts w:cstheme="minorHAnsi"/>
          <w:sz w:val="20"/>
          <w:szCs w:val="20"/>
          <w:lang w:val="en"/>
        </w:rPr>
        <w:t>organisation</w:t>
      </w:r>
      <w:proofErr w:type="spellEnd"/>
      <w:r>
        <w:rPr>
          <w:rFonts w:cstheme="minorHAnsi"/>
          <w:sz w:val="20"/>
          <w:szCs w:val="20"/>
          <w:lang w:val="en"/>
        </w:rPr>
        <w:t xml:space="preserve">, including identification of such third countries or international </w:t>
      </w:r>
      <w:proofErr w:type="spellStart"/>
      <w:r>
        <w:rPr>
          <w:rFonts w:cstheme="minorHAnsi"/>
          <w:sz w:val="20"/>
          <w:szCs w:val="20"/>
          <w:lang w:val="en"/>
        </w:rPr>
        <w:t>organisations</w:t>
      </w:r>
      <w:proofErr w:type="spellEnd"/>
      <w:r>
        <w:rPr>
          <w:rFonts w:cstheme="minorHAnsi"/>
          <w:sz w:val="20"/>
          <w:szCs w:val="20"/>
          <w:lang w:val="en"/>
        </w:rPr>
        <w:t xml:space="preserve">,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w:t>
      </w:r>
      <w:proofErr w:type="spellStart"/>
      <w:r>
        <w:rPr>
          <w:rFonts w:cstheme="minorHAnsi"/>
          <w:sz w:val="20"/>
          <w:szCs w:val="20"/>
          <w:lang w:val="en"/>
        </w:rPr>
        <w:t>organisational</w:t>
      </w:r>
      <w:proofErr w:type="spellEnd"/>
      <w:r>
        <w:rPr>
          <w:rFonts w:cstheme="minorHAnsi"/>
          <w:sz w:val="20"/>
          <w:szCs w:val="20"/>
          <w:lang w:val="en"/>
        </w:rPr>
        <w:t xml:space="preserve">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rrafodelista"/>
        <w:numPr>
          <w:ilvl w:val="0"/>
          <w:numId w:val="15"/>
        </w:numPr>
        <w:jc w:val="both"/>
        <w:rPr>
          <w:rFonts w:cstheme="minorHAnsi"/>
          <w:b/>
          <w:sz w:val="20"/>
          <w:szCs w:val="20"/>
        </w:rPr>
      </w:pPr>
      <w:bookmarkStart w:id="23" w:name="_Toc37245660"/>
      <w:bookmarkStart w:id="24" w:name="_Toc536613000"/>
      <w:r>
        <w:rPr>
          <w:rFonts w:cstheme="minorHAnsi"/>
          <w:b/>
          <w:bCs/>
          <w:sz w:val="20"/>
          <w:szCs w:val="20"/>
          <w:lang w:val="en"/>
        </w:rPr>
        <w:t>Documentation (Article 28.3.h GDPR)</w:t>
      </w:r>
      <w:bookmarkEnd w:id="23"/>
      <w:bookmarkEnd w:id="24"/>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rrafodelista"/>
        <w:numPr>
          <w:ilvl w:val="0"/>
          <w:numId w:val="15"/>
        </w:numPr>
        <w:jc w:val="both"/>
        <w:rPr>
          <w:rFonts w:cstheme="minorHAnsi"/>
          <w:b/>
          <w:sz w:val="20"/>
          <w:szCs w:val="20"/>
          <w:lang w:val="en-US"/>
        </w:rPr>
      </w:pPr>
      <w:bookmarkStart w:id="25" w:name="_Toc37245661"/>
      <w:bookmarkStart w:id="26" w:name="_Toc536613001"/>
      <w:r>
        <w:rPr>
          <w:rFonts w:cstheme="minorHAnsi"/>
          <w:b/>
          <w:bCs/>
          <w:sz w:val="20"/>
          <w:szCs w:val="20"/>
          <w:lang w:val="en"/>
        </w:rPr>
        <w:t>Obligations of the contracting authority vis-à-vis the contractor</w:t>
      </w:r>
      <w:bookmarkEnd w:id="25"/>
      <w:bookmarkEnd w:id="26"/>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0B347" w14:textId="77777777" w:rsidR="00DE157D" w:rsidRDefault="00DE157D" w:rsidP="00887D67">
      <w:pPr>
        <w:spacing w:after="0" w:line="240" w:lineRule="auto"/>
      </w:pPr>
      <w:r>
        <w:separator/>
      </w:r>
    </w:p>
  </w:endnote>
  <w:endnote w:type="continuationSeparator" w:id="0">
    <w:p w14:paraId="2360DED5" w14:textId="77777777" w:rsidR="00DE157D" w:rsidRDefault="00DE157D"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AEE60" w14:textId="77777777" w:rsidR="004F253A" w:rsidRPr="00EE0FDD" w:rsidRDefault="004F253A" w:rsidP="004F253A">
    <w:pPr>
      <w:pStyle w:val="Piedepgina"/>
      <w:tabs>
        <w:tab w:val="clear" w:pos="4536"/>
        <w:tab w:val="clear" w:pos="9072"/>
        <w:tab w:val="right" w:pos="9746"/>
      </w:tabs>
      <w:jc w:val="both"/>
      <w:rPr>
        <w:u w:val="single"/>
      </w:rPr>
    </w:pPr>
    <w:r>
      <w:rPr>
        <w:u w:val="single"/>
        <w:lang w:val="en"/>
      </w:rPr>
      <w:tab/>
    </w:r>
  </w:p>
  <w:p w14:paraId="2E47DCE6" w14:textId="334D2FBE" w:rsidR="004F253A" w:rsidRPr="00C7393A" w:rsidRDefault="00000000" w:rsidP="004F253A">
    <w:pPr>
      <w:pStyle w:val="Piedepgina"/>
      <w:tabs>
        <w:tab w:val="clear" w:pos="4536"/>
        <w:tab w:val="clear" w:pos="9072"/>
        <w:tab w:val="right" w:pos="9746"/>
      </w:tabs>
      <w:jc w:val="right"/>
      <w:rPr>
        <w:lang w:val="en-US"/>
      </w:rPr>
    </w:pPr>
    <w:sdt>
      <w:sdtPr>
        <w:id w:val="-279648002"/>
        <w:docPartObj>
          <w:docPartGallery w:val="Page Numbers (Top of Page)"/>
          <w:docPartUnique/>
        </w:docPartObj>
      </w:sdt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sidR="000E583B">
          <w:rPr>
            <w:noProof/>
            <w:lang w:val="en"/>
          </w:rPr>
          <w:t>5</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sidR="000E583B">
          <w:rPr>
            <w:noProof/>
            <w:lang w:val="en"/>
          </w:rPr>
          <w:t>5</w:t>
        </w:r>
        <w:r w:rsidR="009229E4">
          <w:rPr>
            <w:lang w:val="en"/>
          </w:rPr>
          <w:fldChar w:fldCharType="end"/>
        </w:r>
      </w:sdtContent>
    </w:sdt>
  </w:p>
  <w:p w14:paraId="15F23F7F" w14:textId="77777777" w:rsidR="004F253A" w:rsidRPr="00C7393A" w:rsidRDefault="004F253A" w:rsidP="004F253A">
    <w:pPr>
      <w:pStyle w:val="Piedepgina"/>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1568570764"/>
      <w:docPartObj>
        <w:docPartGallery w:val="Page Numbers (Bottom of Page)"/>
        <w:docPartUnique/>
      </w:docPartObj>
    </w:sdtPr>
    <w:sdtContent>
      <w:sdt>
        <w:sdtPr>
          <w:rPr>
            <w:rFonts w:cstheme="minorHAnsi"/>
          </w:rPr>
          <w:id w:val="21838982"/>
          <w:docPartObj>
            <w:docPartGallery w:val="Page Numbers (Top of Page)"/>
            <w:docPartUnique/>
          </w:docPartObj>
        </w:sdtPr>
        <w:sdtContent>
          <w:p w14:paraId="3A33E67F" w14:textId="77777777" w:rsidR="00867F77" w:rsidRPr="00825775" w:rsidRDefault="00867F77" w:rsidP="00867F77">
            <w:pPr>
              <w:pStyle w:val="Piedepgina"/>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Content>
              <w:p w14:paraId="31A489EA" w14:textId="1CCD05D0" w:rsidR="004F253A" w:rsidRPr="00C7393A" w:rsidRDefault="00867F77" w:rsidP="004F253A">
                <w:pPr>
                  <w:pStyle w:val="Piedepgina"/>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3B08AA">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3B08AA">
                  <w:rPr>
                    <w:noProof/>
                    <w:lang w:val="en"/>
                  </w:rPr>
                  <w:t>1</w:t>
                </w:r>
                <w:r>
                  <w:rPr>
                    <w:lang w:val="en"/>
                  </w:rPr>
                  <w:fldChar w:fldCharType="end"/>
                </w:r>
              </w:p>
            </w:sdtContent>
          </w:sdt>
          <w:p w14:paraId="4F89922E" w14:textId="4EF8996D" w:rsidR="00867F77" w:rsidRPr="004F253A" w:rsidRDefault="00427F6C" w:rsidP="004F253A">
            <w:pPr>
              <w:pStyle w:val="Piedepgina"/>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epgina"/>
              <w:spacing w:line="240" w:lineRule="exact"/>
              <w:rPr>
                <w:rFonts w:cstheme="minorHAnsi"/>
                <w:b/>
              </w:rPr>
            </w:pPr>
          </w:p>
          <w:p w14:paraId="2B1C5FFF" w14:textId="177C11C8" w:rsidR="00867F77" w:rsidRDefault="00867F77" w:rsidP="00867F77">
            <w:pPr>
              <w:pStyle w:val="Piedepgina"/>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6C1FB" w14:textId="77777777" w:rsidR="00DE157D" w:rsidRDefault="00DE157D" w:rsidP="00887D67">
      <w:pPr>
        <w:spacing w:after="0" w:line="240" w:lineRule="auto"/>
      </w:pPr>
      <w:r>
        <w:separator/>
      </w:r>
    </w:p>
  </w:footnote>
  <w:footnote w:type="continuationSeparator" w:id="0">
    <w:p w14:paraId="0C8BCC9C" w14:textId="77777777" w:rsidR="00DE157D" w:rsidRDefault="00DE157D"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0E8E3" w14:textId="007BCA29" w:rsidR="004F253A" w:rsidRPr="00427F6C" w:rsidRDefault="004F253A">
    <w:pPr>
      <w:pStyle w:val="Encabezado"/>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69B76" w14:textId="5D48B520" w:rsidR="00867F77" w:rsidRDefault="00867F77">
    <w:pPr>
      <w:pStyle w:val="Encabezado"/>
    </w:pPr>
    <w:bookmarkStart w:id="27" w:name="_Hlk62125806"/>
    <w:bookmarkStart w:id="28"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7"/>
    <w:bookmarkEnd w:id="2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81725420">
    <w:abstractNumId w:val="4"/>
  </w:num>
  <w:num w:numId="2" w16cid:durableId="1119687849">
    <w:abstractNumId w:val="2"/>
  </w:num>
  <w:num w:numId="3" w16cid:durableId="910775285">
    <w:abstractNumId w:val="12"/>
  </w:num>
  <w:num w:numId="4" w16cid:durableId="1144856547">
    <w:abstractNumId w:val="10"/>
  </w:num>
  <w:num w:numId="5" w16cid:durableId="604920854">
    <w:abstractNumId w:val="0"/>
  </w:num>
  <w:num w:numId="6" w16cid:durableId="1687094976">
    <w:abstractNumId w:val="6"/>
  </w:num>
  <w:num w:numId="7" w16cid:durableId="712729741">
    <w:abstractNumId w:val="11"/>
  </w:num>
  <w:num w:numId="8" w16cid:durableId="13965270">
    <w:abstractNumId w:val="9"/>
  </w:num>
  <w:num w:numId="9" w16cid:durableId="1569878682">
    <w:abstractNumId w:val="3"/>
  </w:num>
  <w:num w:numId="10" w16cid:durableId="1226918998">
    <w:abstractNumId w:val="1"/>
  </w:num>
  <w:num w:numId="11" w16cid:durableId="1211379581">
    <w:abstractNumId w:val="7"/>
  </w:num>
  <w:num w:numId="12" w16cid:durableId="366151478">
    <w:abstractNumId w:val="5"/>
  </w:num>
  <w:num w:numId="13" w16cid:durableId="906305470">
    <w:abstractNumId w:val="8"/>
  </w:num>
  <w:num w:numId="14" w16cid:durableId="1305620645">
    <w:abstractNumId w:val="14"/>
  </w:num>
  <w:num w:numId="15" w16cid:durableId="4189100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287651"/>
    <w:rsid w:val="00304CFF"/>
    <w:rsid w:val="00355F6D"/>
    <w:rsid w:val="003B08AA"/>
    <w:rsid w:val="003B4C41"/>
    <w:rsid w:val="003B660D"/>
    <w:rsid w:val="004008A4"/>
    <w:rsid w:val="00427F6C"/>
    <w:rsid w:val="00440430"/>
    <w:rsid w:val="00442B14"/>
    <w:rsid w:val="004D1CBA"/>
    <w:rsid w:val="004F253A"/>
    <w:rsid w:val="004F30B6"/>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E44C6"/>
    <w:rsid w:val="00CF1D49"/>
    <w:rsid w:val="00D57C5C"/>
    <w:rsid w:val="00D77C92"/>
    <w:rsid w:val="00DA0963"/>
    <w:rsid w:val="00DD4DB9"/>
    <w:rsid w:val="00DE01A6"/>
    <w:rsid w:val="00DE157D"/>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5375D"/>
    <w:pPr>
      <w:ind w:left="720"/>
      <w:contextualSpacing/>
    </w:pPr>
  </w:style>
  <w:style w:type="character" w:styleId="Hipervnculo">
    <w:name w:val="Hyperlink"/>
    <w:basedOn w:val="Fuentedeprrafopredeter"/>
    <w:uiPriority w:val="99"/>
    <w:unhideWhenUsed/>
    <w:rsid w:val="0015375D"/>
    <w:rPr>
      <w:color w:val="0563C1" w:themeColor="hyperlink"/>
      <w:u w:val="single"/>
    </w:rPr>
  </w:style>
  <w:style w:type="character" w:styleId="Refdecomentario">
    <w:name w:val="annotation reference"/>
    <w:basedOn w:val="Fuentedeprrafopredeter"/>
    <w:uiPriority w:val="99"/>
    <w:semiHidden/>
    <w:unhideWhenUsed/>
    <w:rsid w:val="000D5744"/>
    <w:rPr>
      <w:sz w:val="16"/>
      <w:szCs w:val="16"/>
    </w:rPr>
  </w:style>
  <w:style w:type="paragraph" w:styleId="Textocomentario">
    <w:name w:val="annotation text"/>
    <w:basedOn w:val="Normal"/>
    <w:link w:val="TextocomentarioCar"/>
    <w:uiPriority w:val="99"/>
    <w:semiHidden/>
    <w:unhideWhenUsed/>
    <w:rsid w:val="000D574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5744"/>
    <w:rPr>
      <w:sz w:val="20"/>
      <w:szCs w:val="20"/>
    </w:rPr>
  </w:style>
  <w:style w:type="paragraph" w:styleId="Asuntodelcomentario">
    <w:name w:val="annotation subject"/>
    <w:basedOn w:val="Textocomentario"/>
    <w:next w:val="Textocomentario"/>
    <w:link w:val="AsuntodelcomentarioCar"/>
    <w:uiPriority w:val="99"/>
    <w:semiHidden/>
    <w:unhideWhenUsed/>
    <w:rsid w:val="000D5744"/>
    <w:rPr>
      <w:b/>
      <w:bCs/>
    </w:rPr>
  </w:style>
  <w:style w:type="character" w:customStyle="1" w:styleId="AsuntodelcomentarioCar">
    <w:name w:val="Asunto del comentario Car"/>
    <w:basedOn w:val="TextocomentarioCar"/>
    <w:link w:val="Asuntodelcomentario"/>
    <w:uiPriority w:val="99"/>
    <w:semiHidden/>
    <w:rsid w:val="000D5744"/>
    <w:rPr>
      <w:b/>
      <w:bCs/>
      <w:sz w:val="20"/>
      <w:szCs w:val="20"/>
    </w:rPr>
  </w:style>
  <w:style w:type="paragraph" w:styleId="Textodeglobo">
    <w:name w:val="Balloon Text"/>
    <w:basedOn w:val="Normal"/>
    <w:link w:val="TextodegloboCar"/>
    <w:uiPriority w:val="99"/>
    <w:semiHidden/>
    <w:unhideWhenUsed/>
    <w:rsid w:val="000D57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5744"/>
    <w:rPr>
      <w:rFonts w:ascii="Segoe UI" w:hAnsi="Segoe UI" w:cs="Segoe UI"/>
      <w:sz w:val="18"/>
      <w:szCs w:val="18"/>
    </w:rPr>
  </w:style>
  <w:style w:type="paragraph" w:styleId="Encabezado">
    <w:name w:val="header"/>
    <w:basedOn w:val="Normal"/>
    <w:link w:val="EncabezadoCar"/>
    <w:uiPriority w:val="99"/>
    <w:unhideWhenUsed/>
    <w:rsid w:val="00887D67"/>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87D67"/>
  </w:style>
  <w:style w:type="paragraph" w:styleId="Piedepgina">
    <w:name w:val="footer"/>
    <w:basedOn w:val="Normal"/>
    <w:link w:val="PiedepginaCar"/>
    <w:uiPriority w:val="99"/>
    <w:unhideWhenUsed/>
    <w:rsid w:val="00887D67"/>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1495</Words>
  <Characters>8223</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Camilo Brinez</cp:lastModifiedBy>
  <cp:revision>3</cp:revision>
  <dcterms:created xsi:type="dcterms:W3CDTF">2021-12-29T21:01:00Z</dcterms:created>
  <dcterms:modified xsi:type="dcterms:W3CDTF">2025-07-17T16:23:00Z</dcterms:modified>
</cp:coreProperties>
</file>